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147</w:t>
      </w:r>
    </w:p>
    <w:p>
      <w:r>
        <w:t>Bundesgericht (BGE), 2023-09-04, DE</w:t>
      </w:r>
    </w:p>
    <w:p>
      <w:r>
        <w:rPr>
          <w:b/>
        </w:rPr>
        <w:t xml:space="preserve">Quelle: </w:t>
      </w:r>
      <w:r>
        <w:t>https://mcp.opencaselaw.ch/entscheid/bge_150 III 147</w:t>
      </w:r>
    </w:p>
    <w:p>
      <w:r>
        <w:t>FR: ATF 150 III 147</w:t>
      </w:r>
    </w:p>
    <w:p>
      <w:r>
        <w:t>IT: DTF 150 III 147</w:t>
      </w:r>
    </w:p>
    <w:p>
      <w:pPr>
        <w:pStyle w:val="Heading2"/>
      </w:pPr>
      <w:r>
        <w:t>Regeste</w:t>
      </w:r>
    </w:p>
    <w:p>
      <w:r>
        <w:t>Regeste Internationale Schiedsgerichtsbarkeit; Zuständigkeit des Schiedsgerichts (Art. 190 Abs. 2 lit. b IPRG); Schiedsfähigkeit; Autonomie der Schiedsklausel; relativer Charakter der Urteilsfähigkeit. Die Schiedsfähigkeit ist eine Voraussetzung für die Gültigkeit der Schiedsvereinbarung und damit auch für die Zuständigkeit der Schiedsrichter. Im objektiven Sinne bezieht sich der Begriff auf Angelegenheiten, die im Wege eines Schiedsverfahrens entschieden werden können (Schiedsfähigkeit ratione materiae). In seiner subjektiven Bedeutung (Schiedsfähigkeit ratione personae ) bezieht er sich auf die Fähigkeit der Parteien, eine Schiedsvereinbarung zu schliessen (E. 7.2.1). Da die Urteilsfähigkeit ein relativer Begriff ist, der konkret in Bezug auf eine bestimmte Handlung nach ihrer Art und Bedeutung beurteilt werden muss (relativer Charakter der Urteilsfähigkeit), wirkt sich eine mögliche Nichtigkeit des Hauptvertrags aufgrund der Urteilsunfähigkeit einer Partei nicht zwingend auf die darin enthaltene Schiedsklausel aus. Es sind Fälle denkbar, in denen eine Person über die erforderliche Urteilsfähigkeit verfügt, um die Bedeutung und Tragweite einer solchen Klausel zu erfassen, nicht aber die des Hauptvertrags und umgekehrt (E. 7.6.1; Präzisierung der Rechtsprechung).</w:t>
      </w:r>
    </w:p>
    <w:p>
      <w:pPr>
        <w:pStyle w:val="Heading2"/>
      </w:pPr>
      <w:r>
        <w:t>Erwägungen</w:t>
      </w:r>
    </w:p>
    <w:p>
      <w:r>
        <w:rPr>
          <w:b/>
        </w:rPr>
        <w:t>E. 7</w:t>
      </w:r>
    </w:p>
    <w:p>
      <w:r>
        <w:t>(...) 7.2.1 L'arbitrabilité est une condition de validité de la convention d'arbitrage et, partant, de la compétence des arbitres ( ATF 118 II 353 consid. 3a et les références). Dans son sens objectif, ce terme désigne les causes susceptibles d'être tranchées par la voie de l'arbitrage (arbitrabilité ratione materiae ). Dans son sens subjectif (arbitrabilité ratione personae ), il vise la capacité des parties de conclure une convention d'arbitrage ( ATF 138 III 714 consid. 3.2; arrêt 4A_ 118/2014 du 23 juillet 2014 consid. 3.1 et les références citées). La capacité civile d'une partie à un arbitrage international s'apprécie au regard du droit applicable en vertu des art. 33 ss LDIP (RS 291) pour les personnes physiques et 154 LDIP s'agissant des sociétés ( ATF 138 III 714 consid. 3.3.1; arrêt 4A_118/2014, précité, consid. 3.1). (...) BGE 150 III 147 S. 151 7.6.1 Au consid. 3.2.1 de l'arrêt paru aux ATF 142 III 239 , le Tribunal fédéral a certes souligné que le principe de l'autonomie de la convention d'arbitrage n'est pas absolu et qu'il souffre parfois d'exceptions. La Cour de céans a ainsi précisé qu'il peut arriver que la clause compromissoire partage le destin du contrat principal dans certaines situations que la doctrine de langue allemande désigne sous le nom de Fehleridentität (en anglais: identity of defect ), notamment lorsqu'une partie n'a pas la capacité de contracter ou le pouvoir de représenter celle qui entend contracter, voire lorsqu'elle a conclu le contrat principal sous l'empire d'une crainte fondée ( ATF 142 III 239 consid. 3.2.1). Qu'une incapacité de contracter puisse affecter non seulement la validité d'un contrat mais aussi celle de la clause arbitrale qu'il contient est une chose. Que la nullité du contrat principal pour ce motif rejaillisse obligatoirement sur la clause compromissoire en est une autre. Or, on ne saurait admettre qu'un vice lié à la capacité de contracter entraînerait toujours, quelle que soit son origine, la nullité tant du contrat principal que celui de la clause compromissoire. Tel n'est en effet pas le sens des considérations émises par la Cour de céans dans l'arrêt précité. À cet égard, il convient de garder à l'esprit le fait que le principe de l'autonomie de la clause arbitrale demeure la règle, consacrée par l' art. 178 al. 3 LDIP . Le Tribunal fédéral reconnaît du reste qu'une clause arbitrale peut être valable, alors même que le contrat principal n'est pas venu à chef ou est frappé de nullité ( ATF 142 III 239 consid. 6; ATF 119 II 380 consid. 4). Aussi est-ce à tort que les intéressées défendent la thèse selon laquelle la clause arbitrale serait automatiquement nulle si A.a. était incapable de conclure le contrat principal en janvier 2021. Il faut, en effet, bien voir que la capacité de contracter d'une personne physique dépend de plusieurs éléments en droit suisse, et singulièrement de son âge et de sa capacité de discernement. Or, si une incapacité de contracter liée à la minorité d'une partie a des répercussions tant sur la validité du contrat principal que sur celle d'une clause arbitrale, une telle conclusion ne s'impose pas forcément dans d'autres situations. Dans la mesure où la capacité de discernement est une notion relative devant être appréciée concrètement par rapport à un acte déterminé (caractère relatif de la capacité de discernement), en fonction de sa nature et de son importance, on peut en effet concevoir des cas dans lesquels une personne disposerait du discernement BGE 150 III 147 S. 152 nécessaire pour saisir le sens et la portée d'un contrat principal mais pas ceux d'une clause d'arbitrage, et inversement. Dans ces conditions, la démarche suivie par les arbitres dans la sentence attaquée, consistant à apprécier la capacité de discernement de A.a. par rapport à la clause d'arbitrage insérée dans le contrat de reprise de dettes, n'apparaît pas contraire à la jurisprudence fédérale. Il n'appartient ainsi pas à la Cour de céans de déterminer si A.a. disposait du discernement nécessaire pour signer les cessions de créances et le contrat de reprise de dettes conclus en janvier 2021, mais uniquement d'examiner si le Tribunal arbitral a apprécié correctement la capacité de discernement de l'intéressé par rapport à la clause arbitrale figurant dans ledit contrat.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